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ind w:right="-8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80"/>
        <w:contextualSpacing w:val="0"/>
        <w:jc w:val="center"/>
      </w:pPr>
      <w:r w:rsidDel="00000000" w:rsidR="00000000" w:rsidRPr="00000000">
        <w:rPr>
          <w:rtl w:val="0"/>
        </w:rPr>
        <w:t xml:space="preserve">   </w:t>
        <w:tab/>
        <w:t xml:space="preserve">          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SCHEDA RILEVAZIONE ALUNNI CON BISOGNI EDUCATIVI SPECIALI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a.s. 2015 – 2016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CLASSE         </w:t>
        <w:tab/>
        <w:t xml:space="preserve">SEZ                    </w:t>
        <w:tab/>
        <w:t xml:space="preserve">SCUOLA            </w:t>
        <w:tab/>
        <w:t xml:space="preserve">               PLESSO</w:t>
      </w:r>
    </w:p>
    <w:tbl>
      <w:tblPr>
        <w:tblStyle w:val="Table1"/>
        <w:bidi w:val="0"/>
        <w:tblW w:w="102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15"/>
        <w:gridCol w:w="1575"/>
        <w:gridCol w:w="2145"/>
        <w:gridCol w:w="4110"/>
        <w:tblGridChange w:id="0">
          <w:tblGrid>
            <w:gridCol w:w="2415"/>
            <w:gridCol w:w="1575"/>
            <w:gridCol w:w="2145"/>
            <w:gridCol w:w="411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  <w:jc w:val="center"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ALUNNO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SVANTAGGIO PREVALENTE (*)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  <w:jc w:val="center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Inserire una sola voce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ALTRO SVANTAGGIO (*)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Possono essere inserite più voci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MODALITA’ DI INTERVENTO (**)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Possono essere inserite più voci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                                  </w:t>
              <w:tab/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(*) LEGENDA SVANTAGGIO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Disabilità certificata (lex 104 art. 3 comma 1-comma 3)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DSA con certificazione (Lex 170/2010)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ADHD o altra problematica (solo relazione clinica, senza Lex. 104)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Disagio affettivo comportamentale/relazionale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Disagio socio-economico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Svantaggio linguistico/culturale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Difficoltà di apprendimento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Difficoltà di linguaggio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(**) LEGENDA MODALITA’ DI INTERVENTO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Di supporto a problemi relativi alle funzioni e alle strutture corporee (assistenza, cura della persona)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Supporto nell’acquisizione di competenze relazionali e pro-sociali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Adattamenti didattici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Supporto motivazionale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Supporto nella gestione e nell’organizzazione del lavoro e dello studio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Spazi e tempi di ascolto attivo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Supporto allo sviluppo delle potenzialità (autostima)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  <w:tab/>
        <w:t xml:space="preserve">  Porto Torres,                                                                                             GLI   INSEGNANTI</w:t>
      </w:r>
      <w:r w:rsidDel="00000000" w:rsidR="00000000" w:rsidRPr="00000000">
        <w:rPr>
          <w:rtl w:val="0"/>
        </w:rPr>
      </w:r>
    </w:p>
    <w:sectPr>
      <w:pgSz w:h="16838" w:w="11906"/>
      <w:pgMar w:bottom="289.13385826771656" w:top="720.0000000000001" w:left="720.0000000000001" w:right="720.0000000000001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