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before="0" w:lineRule="auto"/>
        <w:jc w:val="center"/>
        <w:rPr>
          <w:color w:val="000000"/>
        </w:rPr>
      </w:pPr>
      <w:r w:rsidDel="00000000" w:rsidR="00000000" w:rsidRPr="00000000">
        <w:rPr>
          <w:color w:val="000000"/>
        </w:rPr>
        <w:drawing>
          <wp:inline distB="0" distT="0" distL="0" distR="0">
            <wp:extent cx="994410" cy="652145"/>
            <wp:effectExtent b="0" l="0" r="0" t="0"/>
            <wp:docPr id="1" name="image1.png"/>
            <a:graphic>
              <a:graphicData uri="http://schemas.openxmlformats.org/drawingml/2006/picture">
                <pic:pic>
                  <pic:nvPicPr>
                    <pic:cNvPr id="0" name="image1.png"/>
                    <pic:cNvPicPr preferRelativeResize="0"/>
                  </pic:nvPicPr>
                  <pic:blipFill>
                    <a:blip r:embed="rId6"/>
                    <a:srcRect b="-28" l="-18" r="-18" t="-28"/>
                    <a:stretch>
                      <a:fillRect/>
                    </a:stretch>
                  </pic:blipFill>
                  <pic:spPr>
                    <a:xfrm>
                      <a:off x="0" y="0"/>
                      <a:ext cx="994410" cy="652145"/>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466850" cy="642620"/>
            <wp:effectExtent b="0" l="0" r="0" t="0"/>
            <wp:docPr id="3" name="image2.png"/>
            <a:graphic>
              <a:graphicData uri="http://schemas.openxmlformats.org/drawingml/2006/picture">
                <pic:pic>
                  <pic:nvPicPr>
                    <pic:cNvPr id="0" name="image2.png"/>
                    <pic:cNvPicPr preferRelativeResize="0"/>
                  </pic:nvPicPr>
                  <pic:blipFill>
                    <a:blip r:embed="rId7"/>
                    <a:srcRect b="-55" l="-24" r="-24" t="-55"/>
                    <a:stretch>
                      <a:fillRect/>
                    </a:stretch>
                  </pic:blipFill>
                  <pic:spPr>
                    <a:xfrm>
                      <a:off x="0" y="0"/>
                      <a:ext cx="1466850" cy="64262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767715" cy="849630"/>
            <wp:effectExtent b="0" l="0" r="0" t="0"/>
            <wp:docPr id="2" name="image3.png"/>
            <a:graphic>
              <a:graphicData uri="http://schemas.openxmlformats.org/drawingml/2006/picture">
                <pic:pic>
                  <pic:nvPicPr>
                    <pic:cNvPr id="0" name="image3.png"/>
                    <pic:cNvPicPr preferRelativeResize="0"/>
                  </pic:nvPicPr>
                  <pic:blipFill>
                    <a:blip r:embed="rId8"/>
                    <a:srcRect b="-20" l="-22" r="-22" t="-20"/>
                    <a:stretch>
                      <a:fillRect/>
                    </a:stretch>
                  </pic:blipFill>
                  <pic:spPr>
                    <a:xfrm>
                      <a:off x="0" y="0"/>
                      <a:ext cx="767715" cy="84963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color w:val="000000"/>
          <w:sz w:val="20"/>
          <w:szCs w:val="20"/>
        </w:rPr>
      </w:pPr>
      <w:r w:rsidDel="00000000" w:rsidR="00000000" w:rsidRPr="00000000">
        <w:rPr>
          <w:b w:val="1"/>
          <w:color w:val="000000"/>
          <w:sz w:val="20"/>
          <w:szCs w:val="20"/>
          <w:rtl w:val="0"/>
        </w:rPr>
        <w:t xml:space="preserve">ISTITUTO DI ISTRUZIONE SUPERIORE “ENRICO FERMI”</w:t>
      </w:r>
    </w:p>
    <w:p w:rsidR="00000000" w:rsidDel="00000000" w:rsidP="00000000" w:rsidRDefault="00000000" w:rsidRPr="00000000" w14:paraId="00000003">
      <w:pPr>
        <w:jc w:val="center"/>
        <w:rPr>
          <w:b w:val="1"/>
          <w:color w:val="000000"/>
          <w:sz w:val="16"/>
          <w:szCs w:val="16"/>
        </w:rPr>
      </w:pPr>
      <w:r w:rsidDel="00000000" w:rsidR="00000000" w:rsidRPr="00000000">
        <w:rPr>
          <w:b w:val="1"/>
          <w:color w:val="000000"/>
          <w:sz w:val="16"/>
          <w:szCs w:val="16"/>
          <w:rtl w:val="0"/>
        </w:rPr>
        <w:t xml:space="preserve">Piazza Medaglie d’Oro–Ozieri (SS) C.F. 81000270900–C.M. SSIS01600P</w:t>
      </w:r>
    </w:p>
    <w:p w:rsidR="00000000" w:rsidDel="00000000" w:rsidP="00000000" w:rsidRDefault="00000000" w:rsidRPr="00000000" w14:paraId="00000004">
      <w:pPr>
        <w:jc w:val="center"/>
        <w:rPr>
          <w:b w:val="1"/>
          <w:color w:val="000000"/>
          <w:sz w:val="16"/>
          <w:szCs w:val="16"/>
          <w:u w:val="single"/>
        </w:rPr>
      </w:pPr>
      <w:r w:rsidDel="00000000" w:rsidR="00000000" w:rsidRPr="00000000">
        <w:rPr>
          <w:b w:val="1"/>
          <w:color w:val="000000"/>
          <w:sz w:val="16"/>
          <w:szCs w:val="16"/>
          <w:rtl w:val="0"/>
        </w:rPr>
        <w:t xml:space="preserve">Sito web: </w:t>
      </w:r>
      <w:hyperlink r:id="rId9">
        <w:r w:rsidDel="00000000" w:rsidR="00000000" w:rsidRPr="00000000">
          <w:rPr>
            <w:b w:val="1"/>
            <w:color w:val="0000ff"/>
            <w:sz w:val="16"/>
            <w:szCs w:val="16"/>
            <w:u w:val="single"/>
            <w:rtl w:val="0"/>
          </w:rPr>
          <w:t xml:space="preserve">www.itozieri.edu.it</w:t>
        </w:r>
      </w:hyperlink>
      <w:r w:rsidDel="00000000" w:rsidR="00000000" w:rsidRPr="00000000">
        <w:rPr>
          <w:b w:val="1"/>
          <w:color w:val="000000"/>
          <w:sz w:val="16"/>
          <w:szCs w:val="16"/>
          <w:rtl w:val="0"/>
        </w:rPr>
        <w:t xml:space="preserve"> Tel. 079787922 email: </w:t>
      </w:r>
      <w:hyperlink r:id="rId10">
        <w:r w:rsidDel="00000000" w:rsidR="00000000" w:rsidRPr="00000000">
          <w:rPr>
            <w:b w:val="1"/>
            <w:color w:val="0000ff"/>
            <w:sz w:val="16"/>
            <w:szCs w:val="16"/>
            <w:u w:val="single"/>
            <w:rtl w:val="0"/>
          </w:rPr>
          <w:t xml:space="preserve">ssis01600p@istruzione.it</w:t>
        </w:r>
      </w:hyperlink>
      <w:r w:rsidDel="00000000" w:rsidR="00000000" w:rsidRPr="00000000">
        <w:rPr>
          <w:b w:val="1"/>
          <w:color w:val="000000"/>
          <w:sz w:val="16"/>
          <w:szCs w:val="16"/>
          <w:rtl w:val="0"/>
        </w:rPr>
        <w:t xml:space="preserve"> pec: </w:t>
      </w:r>
      <w:hyperlink r:id="rId11">
        <w:r w:rsidDel="00000000" w:rsidR="00000000" w:rsidRPr="00000000">
          <w:rPr>
            <w:b w:val="1"/>
            <w:color w:val="0000ff"/>
            <w:sz w:val="16"/>
            <w:szCs w:val="16"/>
            <w:u w:val="single"/>
            <w:rtl w:val="0"/>
          </w:rPr>
          <w:t xml:space="preserve">ssis01600p@pec.istruzione.it</w:t>
        </w:r>
      </w:hyperlink>
      <w:r w:rsidDel="00000000" w:rsidR="00000000" w:rsidRPr="00000000">
        <w:rPr>
          <w:rtl w:val="0"/>
        </w:rPr>
      </w:r>
    </w:p>
    <w:p w:rsidR="00000000" w:rsidDel="00000000" w:rsidP="00000000" w:rsidRDefault="00000000" w:rsidRPr="00000000" w14:paraId="00000005">
      <w:pPr>
        <w:jc w:val="center"/>
        <w:rPr>
          <w:b w:val="1"/>
          <w:color w:val="000000"/>
          <w:sz w:val="16"/>
          <w:szCs w:val="16"/>
        </w:rPr>
      </w:pPr>
      <w:bookmarkStart w:colFirst="0" w:colLast="0" w:name="_gjdgxs" w:id="0"/>
      <w:bookmarkEnd w:id="0"/>
      <w:r w:rsidDel="00000000" w:rsidR="00000000" w:rsidRPr="00000000">
        <w:rPr>
          <w:b w:val="1"/>
          <w:color w:val="000000"/>
          <w:sz w:val="16"/>
          <w:szCs w:val="16"/>
          <w:rtl w:val="0"/>
        </w:rPr>
        <w:t xml:space="preserve">Ist. Tecnico Tecnologico (Agrario, Informatico, Biotecnologico, Costruzioni) Ozieri</w:t>
        <w:br w:type="textWrapping"/>
        <w:t xml:space="preserve">Istituto Tecnico Economico (AFM) Via Gronchi 07020 Buddusò (OT) Tel. 079715058</w:t>
        <w:br w:type="textWrapping"/>
        <w:t xml:space="preserve">I.P.AA.-"F. COCCO ORTU"- Via Aldo Moro Bono (SS) Tel.079791179 con Corso Serale(Tel. 079791200) – IST. PROF. “Agr. e svil. rurale, val. dei prodotti del territorio e gest. delle risorse forestali e montane” e “Serv. per la sanità e l’ass. soc.”</w:t>
      </w:r>
    </w:p>
    <w:p w:rsidR="00000000" w:rsidDel="00000000" w:rsidP="00000000" w:rsidRDefault="00000000" w:rsidRPr="00000000" w14:paraId="00000006">
      <w:pPr>
        <w:jc w:val="center"/>
        <w:rPr>
          <w:color w:val="000000"/>
        </w:rPr>
      </w:pPr>
      <w:r w:rsidDel="00000000" w:rsidR="00000000" w:rsidRPr="00000000">
        <w:rPr>
          <w:b w:val="1"/>
          <w:color w:val="000000"/>
          <w:sz w:val="16"/>
          <w:szCs w:val="16"/>
          <w:rtl w:val="0"/>
        </w:rPr>
        <w:t xml:space="preserve">I. Tecnico Economico (SIA) con Corso Serale-Via Don A. Manunta 07047 Thiesi Tel.079886106-Fax 079885303</w:t>
      </w:r>
      <w:r w:rsidDel="00000000" w:rsidR="00000000" w:rsidRPr="00000000">
        <w:rPr>
          <w:rtl w:val="0"/>
        </w:rPr>
      </w:r>
    </w:p>
    <w:p w:rsidR="00000000" w:rsidDel="00000000" w:rsidP="00000000" w:rsidRDefault="00000000" w:rsidRPr="00000000" w14:paraId="00000007">
      <w:pPr>
        <w:tabs>
          <w:tab w:val="center" w:leader="none" w:pos="4819"/>
          <w:tab w:val="right" w:leader="none" w:pos="9638"/>
        </w:tabs>
        <w:jc w:val="center"/>
        <w:rPr>
          <w:b w:val="1"/>
          <w:sz w:val="16"/>
          <w:szCs w:val="16"/>
        </w:rPr>
      </w:pPr>
      <w:r w:rsidDel="00000000" w:rsidR="00000000" w:rsidRPr="00000000">
        <w:rPr>
          <w:b w:val="1"/>
          <w:sz w:val="16"/>
          <w:szCs w:val="16"/>
          <w:rtl w:val="0"/>
        </w:rPr>
        <w:t xml:space="preserve">IST. PROF. </w:t>
      </w:r>
      <w:r w:rsidDel="00000000" w:rsidR="00000000" w:rsidRPr="00000000">
        <w:rPr>
          <w:b w:val="1"/>
          <w:color w:val="000000"/>
          <w:sz w:val="16"/>
          <w:szCs w:val="16"/>
          <w:rtl w:val="0"/>
        </w:rPr>
        <w:t xml:space="preserve">“Agr. e svil. rurale, val. dei prodotti del territorio e gest. delle risorse forestali e montane” </w:t>
      </w:r>
      <w:r w:rsidDel="00000000" w:rsidR="00000000" w:rsidRPr="00000000">
        <w:rPr>
          <w:b w:val="1"/>
          <w:sz w:val="16"/>
          <w:szCs w:val="16"/>
          <w:rtl w:val="0"/>
        </w:rPr>
        <w:t xml:space="preserve">- Località Sas Palazzinas 07012 Bonorva (SS) Tel. 0795029017 con corso serale</w:t>
      </w:r>
    </w:p>
    <w:p w:rsidR="00000000" w:rsidDel="00000000" w:rsidP="00000000" w:rsidRDefault="00000000" w:rsidRPr="00000000" w14:paraId="00000008">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9">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A">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B">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DIPARTIMENTO dell’asse culturale______________</w:t>
      </w:r>
    </w:p>
    <w:p w:rsidR="00000000" w:rsidDel="00000000" w:rsidP="00000000" w:rsidRDefault="00000000" w:rsidRPr="00000000" w14:paraId="0000000D">
      <w:pP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Alle ore ... del giorno ... ottobre 2023 in modalità a distanza sulla piattaforma </w:t>
      </w:r>
      <w:r w:rsidDel="00000000" w:rsidR="00000000" w:rsidRPr="00000000">
        <w:rPr>
          <w:i w:val="1"/>
          <w:rtl w:val="0"/>
        </w:rPr>
        <w:t xml:space="preserve">Microsoft Office 365</w:t>
      </w:r>
      <w:r w:rsidDel="00000000" w:rsidR="00000000" w:rsidRPr="00000000">
        <w:rPr>
          <w:rtl w:val="0"/>
        </w:rPr>
        <w:t xml:space="preserve">, D.L: n°105, del 23 luglio, art.6 all.A, in riferimento al D.L. n°18 del 17 marzo 2020 art.73 comvertito con modifiche dalla L. “4 aprile 2020, n°27 art.72 2-bis) si riunisce il dipartimento dell’area disciplinare di  _____     per discutere l’odg sotto indicato.</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In apertura di riunione si procede con l’individuazione del Coordinatore del Dipartimento. I membri individuano quale Coordinatore il prof. _________________, che presiede la seduta.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Funge da segretario il prof ______________</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Alla riunione odierna risultano            Disciplina afferente all’asse disciplinare del dipartimento</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Presenti: ____________________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rtl w:val="0"/>
        </w:rPr>
        <w:t xml:space="preserve">Assenti: ________________</w:t>
      </w: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ODG della riunione odierna:</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4">
      <w:pPr>
        <w:tabs>
          <w:tab w:val="center" w:leader="none" w:pos="5670"/>
        </w:tabs>
        <w:spacing w:line="360" w:lineRule="auto"/>
        <w:ind w:right="567" w:firstLine="567"/>
        <w:jc w:val="both"/>
        <w:rPr/>
      </w:pPr>
      <w:r w:rsidDel="00000000" w:rsidR="00000000" w:rsidRPr="00000000">
        <w:rPr>
          <w:rtl w:val="0"/>
        </w:rPr>
        <w:t xml:space="preserve">1) Programmazione didattica per l’anno scolastico 2023/2024 finalizzata alla definizione delle linee comuni per le imminenti programmazioni dei Consigli di Classe;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14" w:line="276" w:lineRule="auto"/>
        <w:ind w:left="3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Definizione delle linee comuni di una specifica programmazione didattica per le classi del primo  biennio, con particolare riferimento alla </w:t>
      </w:r>
      <w:hyperlink r:id="rId12">
        <w:r w:rsidDel="00000000" w:rsidR="00000000" w:rsidRPr="00000000">
          <w:rPr>
            <w:rFonts w:ascii="Times New Roman" w:cs="Times New Roman" w:eastAsia="Times New Roman" w:hAnsi="Times New Roman"/>
            <w:b w:val="0"/>
            <w:i w:val="0"/>
            <w:smallCaps w:val="0"/>
            <w:strike w:val="0"/>
            <w:color w:val="000080"/>
            <w:sz w:val="24"/>
            <w:szCs w:val="24"/>
            <w:u w:val="single"/>
            <w:shd w:fill="auto" w:val="clear"/>
            <w:vertAlign w:val="baseline"/>
            <w:rtl w:val="0"/>
          </w:rPr>
          <w:t xml:space="preserve">tipologia di verifica per ciascuna disciplina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alla valutazione delle competenze (richiamata dalla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Nota Ministeriale</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n° 1208 del 12 aprile 2010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trasmissione del DM n° 9 del 27 gennaio con allegato modello di certificazione dei saperi e delle competenze acquisite nell’assolvimento dell’obbligo di istruzione);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14" w:line="276" w:lineRule="auto"/>
        <w:ind w:left="3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Programmazione PCTO nelle classi del triennio di tutti i corsi;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14" w:line="276" w:lineRule="auto"/>
        <w:ind w:left="3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Programmazione dell’insegnamento di Educazione Civica secondo le Linee Guida ministeriali;</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14" w:line="276" w:lineRule="auto"/>
        <w:ind w:left="3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Per i docenti dei Professionali: tenuto conto che nell’ambito dei percorsi di Istruzione Professionale i Dipartimenti, secondo la normativa sulla revisione di tali percorsi, diventano nuclei fondanti della programmazione, le linee generali sulle programmazioni dovranno attentamente attenersi a tale normativa, con particolare riferimento a:</w:t>
      </w:r>
    </w:p>
    <w:p w:rsidR="00000000" w:rsidDel="00000000" w:rsidP="00000000" w:rsidRDefault="00000000" w:rsidRPr="00000000" w14:paraId="0000002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0" w:hanging="13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definizione dei profili in uscita dei singoli indirizzi;</w:t>
      </w:r>
    </w:p>
    <w:p w:rsidR="00000000" w:rsidDel="00000000" w:rsidP="00000000" w:rsidRDefault="00000000" w:rsidRPr="00000000" w14:paraId="0000002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0" w:hanging="13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tipologia di verifiche da adottare per ogni singolo asse culturale;</w:t>
      </w:r>
    </w:p>
    <w:p w:rsidR="00000000" w:rsidDel="00000000" w:rsidP="00000000" w:rsidRDefault="00000000" w:rsidRPr="00000000" w14:paraId="0000002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0" w:hanging="13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definizione delle competenze per assi culturali;</w:t>
      </w:r>
    </w:p>
    <w:p w:rsidR="00000000" w:rsidDel="00000000" w:rsidP="00000000" w:rsidRDefault="00000000" w:rsidRPr="00000000" w14:paraId="0000002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0" w:hanging="13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programmazione personalizzata;</w:t>
      </w:r>
    </w:p>
    <w:p w:rsidR="00000000" w:rsidDel="00000000" w:rsidP="00000000" w:rsidRDefault="00000000" w:rsidRPr="00000000" w14:paraId="0000002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0" w:hanging="13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istituzione della figura del tutor di classe;</w:t>
      </w:r>
    </w:p>
    <w:p w:rsidR="00000000" w:rsidDel="00000000" w:rsidP="00000000" w:rsidRDefault="00000000" w:rsidRPr="00000000" w14:paraId="0000002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81"/>
        </w:tabs>
        <w:spacing w:after="0" w:before="0" w:line="276" w:lineRule="auto"/>
        <w:ind w:left="1180" w:right="0" w:hanging="135"/>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definizione delle modalità di raccordo col percorso IeFP.</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046" w:right="793" w:firstLine="0"/>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 ricorda che materiale utile per i nuovi professionali si trova sul nostro sito all’indirizzo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https://www.itozieri.edu.it/index.php/aree-tematiche/riordino-istruzione-professionale</w:t>
        </w:r>
      </w:hyperlink>
      <w:r w:rsidDel="00000000" w:rsidR="00000000" w:rsidRPr="00000000">
        <w:rPr>
          <w:rtl w:val="0"/>
        </w:rPr>
      </w:r>
    </w:p>
    <w:p w:rsidR="00000000" w:rsidDel="00000000" w:rsidP="00000000" w:rsidRDefault="00000000" w:rsidRPr="00000000" w14:paraId="00000030">
      <w:pPr>
        <w:numPr>
          <w:ilvl w:val="0"/>
          <w:numId w:val="1"/>
        </w:numPr>
        <w:ind w:left="720" w:firstLine="0"/>
        <w:rPr/>
      </w:pPr>
      <w:r w:rsidDel="00000000" w:rsidR="00000000" w:rsidRPr="00000000">
        <w:rPr>
          <w:rtl w:val="0"/>
        </w:rPr>
        <w:t xml:space="preserve">Per i docenni e del terzo anno dei Professionali,tenuto conto che nell'ambito dei percorsi di Istruzione professionale i Dipartimenti, secondo la normativa sulla revisione di tali percorsi sulla revisione di tali percorsi, diventano nuclei fondantindella programmazione, le linee generali sulle programmazioni dovranno attentamente attenersi a tale normativa con particolare riferimento a:</w:t>
      </w:r>
    </w:p>
    <w:p w:rsidR="00000000" w:rsidDel="00000000" w:rsidP="00000000" w:rsidRDefault="00000000" w:rsidRPr="00000000" w14:paraId="00000031">
      <w:pPr>
        <w:ind w:left="720" w:firstLine="0"/>
        <w:rPr/>
      </w:pPr>
      <w:r w:rsidDel="00000000" w:rsidR="00000000" w:rsidRPr="00000000">
        <w:rPr>
          <w:rtl w:val="0"/>
        </w:rPr>
        <w:t xml:space="preserve">-definizione dei profili in uscita dei singoli indirizzi;</w:t>
      </w:r>
    </w:p>
    <w:p w:rsidR="00000000" w:rsidDel="00000000" w:rsidP="00000000" w:rsidRDefault="00000000" w:rsidRPr="00000000" w14:paraId="00000032">
      <w:pPr>
        <w:ind w:left="720" w:firstLine="0"/>
        <w:rPr/>
      </w:pPr>
      <w:r w:rsidDel="00000000" w:rsidR="00000000" w:rsidRPr="00000000">
        <w:rPr>
          <w:rtl w:val="0"/>
        </w:rPr>
        <w:t xml:space="preserve">-tipologia di verifiche da adottare per ogni singolo asse culturale;</w:t>
      </w:r>
    </w:p>
    <w:p w:rsidR="00000000" w:rsidDel="00000000" w:rsidP="00000000" w:rsidRDefault="00000000" w:rsidRPr="00000000" w14:paraId="00000033">
      <w:pPr>
        <w:ind w:left="720" w:firstLine="0"/>
        <w:rPr/>
      </w:pPr>
      <w:r w:rsidDel="00000000" w:rsidR="00000000" w:rsidRPr="00000000">
        <w:rPr>
          <w:rtl w:val="0"/>
        </w:rPr>
        <w:t xml:space="preserve">-definizione delle competenze per assi culturali;</w:t>
      </w:r>
    </w:p>
    <w:p w:rsidR="00000000" w:rsidDel="00000000" w:rsidP="00000000" w:rsidRDefault="00000000" w:rsidRPr="00000000" w14:paraId="00000034">
      <w:pPr>
        <w:ind w:left="720" w:firstLine="0"/>
        <w:rPr/>
      </w:pPr>
      <w:r w:rsidDel="00000000" w:rsidR="00000000" w:rsidRPr="00000000">
        <w:rPr>
          <w:rtl w:val="0"/>
        </w:rPr>
        <w:t xml:space="preserve">- programmazione personalizzata;</w:t>
      </w:r>
    </w:p>
    <w:p w:rsidR="00000000" w:rsidDel="00000000" w:rsidP="00000000" w:rsidRDefault="00000000" w:rsidRPr="00000000" w14:paraId="00000035">
      <w:pPr>
        <w:rPr/>
      </w:pPr>
      <w:r w:rsidDel="00000000" w:rsidR="00000000" w:rsidRPr="00000000">
        <w:rPr>
          <w:rtl w:val="0"/>
        </w:rPr>
        <w:t xml:space="preserve">            -istituzione della figura del tutor di classe;</w:t>
      </w:r>
    </w:p>
    <w:p w:rsidR="00000000" w:rsidDel="00000000" w:rsidP="00000000" w:rsidRDefault="00000000" w:rsidRPr="00000000" w14:paraId="00000036">
      <w:pPr>
        <w:rPr/>
      </w:pPr>
      <w:r w:rsidDel="00000000" w:rsidR="00000000" w:rsidRPr="00000000">
        <w:rPr>
          <w:rtl w:val="0"/>
        </w:rPr>
        <w:t xml:space="preserve">           -definizione delle modalità di raccordo con il percorso IeFP.</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          Il Coordinatore prof….., verificato il numero dei presenti procede all’apertura della riunione (oppure dichiara di non poter procedere in quanto non si è raggiunto il numero legale)</w:t>
      </w:r>
    </w:p>
    <w:p w:rsidR="00000000" w:rsidDel="00000000" w:rsidP="00000000" w:rsidRDefault="00000000" w:rsidRPr="00000000" w14:paraId="00000039">
      <w:pPr>
        <w:jc w:val="both"/>
        <w:rPr/>
      </w:pPr>
      <w:r w:rsidDel="00000000" w:rsidR="00000000" w:rsidRPr="00000000">
        <w:rPr>
          <w:rtl w:val="0"/>
        </w:rPr>
        <w:t xml:space="preserve"> </w:t>
      </w:r>
    </w:p>
    <w:p w:rsidR="00000000" w:rsidDel="00000000" w:rsidP="00000000" w:rsidRDefault="00000000" w:rsidRPr="00000000" w14:paraId="0000003A">
      <w:pPr>
        <w:jc w:val="both"/>
        <w:rPr/>
      </w:pPr>
      <w:r w:rsidDel="00000000" w:rsidR="00000000" w:rsidRPr="00000000">
        <w:rPr>
          <w:rtl w:val="0"/>
        </w:rPr>
        <w:t xml:space="preserve">    introducendo il </w:t>
      </w:r>
      <w:r w:rsidDel="00000000" w:rsidR="00000000" w:rsidRPr="00000000">
        <w:rPr>
          <w:b w:val="1"/>
          <w:rtl w:val="0"/>
        </w:rPr>
        <w:t xml:space="preserve">punto 1</w:t>
      </w:r>
      <w:r w:rsidDel="00000000" w:rsidR="00000000" w:rsidRPr="00000000">
        <w:rPr>
          <w:rtl w:val="0"/>
        </w:rPr>
        <w:t xml:space="preserve"> all’odg, ricorda che la definizione delle linee generali della programmazione didattica dev’essere coerente con il PTOF triennale 2019-2022 ai fini della sua attuazione, con gli obiettivi di miglioramento stabiliti nel RAV e con le linee indicate nell’atto di indirizzo dirigenziale  proposte, da ultimo, alla discussione del Collegio dei Docenti. Per quanto concerne, il </w:t>
      </w:r>
      <w:r w:rsidDel="00000000" w:rsidR="00000000" w:rsidRPr="00000000">
        <w:rPr>
          <w:b w:val="1"/>
          <w:rtl w:val="0"/>
        </w:rPr>
        <w:t xml:space="preserve">punto 2</w:t>
      </w:r>
      <w:r w:rsidDel="00000000" w:rsidR="00000000" w:rsidRPr="00000000">
        <w:rPr>
          <w:rtl w:val="0"/>
        </w:rPr>
        <w:t xml:space="preserve"> la valutazione e certificazione delle competenze, il Coordinatore richiama i sig.ri docenti all’attenta considerazione della normativa riportata nell’odg. con particolare riferimento alla </w:t>
      </w:r>
      <w:r w:rsidDel="00000000" w:rsidR="00000000" w:rsidRPr="00000000">
        <w:rPr>
          <w:i w:val="1"/>
          <w:rtl w:val="0"/>
        </w:rPr>
        <w:t xml:space="preserve">Guida operativa </w:t>
      </w:r>
      <w:r w:rsidDel="00000000" w:rsidR="00000000" w:rsidRPr="00000000">
        <w:rPr>
          <w:rtl w:val="0"/>
        </w:rPr>
        <w:t xml:space="preserve">per compilazione della documentazione in argomento. </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  Per quanto concerne il </w:t>
      </w:r>
      <w:r w:rsidDel="00000000" w:rsidR="00000000" w:rsidRPr="00000000">
        <w:rPr>
          <w:b w:val="1"/>
          <w:rtl w:val="0"/>
        </w:rPr>
        <w:t xml:space="preserve">3°punto</w:t>
      </w:r>
      <w:r w:rsidDel="00000000" w:rsidR="00000000" w:rsidRPr="00000000">
        <w:rPr>
          <w:rtl w:val="0"/>
        </w:rPr>
        <w:t xml:space="preserve"> dell’odg. il Coordinatore sottolinea la necessità che la definizione delle linee generali  per la progettazione dei nuovi PCTO non debba prescindere comunque dai contenuti e dalle modalità operative ed organizzative  stabilite nello Statuto delle studentesse e degli studenti in Alternanza Scuola lavoro,nelle precedenti  indicazioni fatte pervenire dal MIUR così come queste sono state articolate nella progettazione inserita nel PTOF triennale d’Istituto e realizzata nel corso del precedente anno scolastico. Soprattutto, i sig.ri docenti dovranno far riferimento alle nuove Linee Guida con allegati per i PCTO adottate con D.M. n°774 del 4 settembre 2019 e dalla documentazione elaborata dai docenti responsabili della struttura d’Istituto  per i percorsi PTCO nell’a.s.2020-2021e consultabili all’apposito link sul sito istituzionale. Ovviamente la programmazione di tali attività,dovrà prendere in esame, al momento, in conformità con quanto previsto, in merito nelle Linee Guida ministeriali  e dala la normativa anticovid, così come deliberato nel corso dell'ultima riunione del Collegio dei Dodenti, le attività da svolgere secondo le suddette indicazioni scaturite dalla riunione del Collegio dei Docenti del 5 ottobre 2021 di cui al p. 6 dell'odg.</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  In merito al </w:t>
      </w:r>
      <w:r w:rsidDel="00000000" w:rsidR="00000000" w:rsidRPr="00000000">
        <w:rPr>
          <w:b w:val="1"/>
          <w:rtl w:val="0"/>
        </w:rPr>
        <w:t xml:space="preserve">4° punto</w:t>
      </w:r>
      <w:r w:rsidDel="00000000" w:rsidR="00000000" w:rsidRPr="00000000">
        <w:rPr>
          <w:rtl w:val="0"/>
        </w:rPr>
        <w:t xml:space="preserve"> all’o.d.g. il Coordinatore invita i prof.ri componenti del Dipartimento a considerarele Linee guida per l'insegnamento dell'educazione civica nelle scuola di ogni ordine e grado,con particolare riferimento all'individuazione delle tematiche di carattere generale , alla  trasversalità dello stesso insegamento, secondo le indicazioni già definite  per il precedente anno scoalstico e in riferimento alle programmazioni iterdisciplinari dei Consigli di Classe e dei singoli prof.ri.</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t xml:space="preserve">  Il Coordinatore, per quanto riguarda il </w:t>
      </w:r>
      <w:r w:rsidDel="00000000" w:rsidR="00000000" w:rsidRPr="00000000">
        <w:rPr>
          <w:b w:val="1"/>
          <w:rtl w:val="0"/>
        </w:rPr>
        <w:t xml:space="preserve">5° punto</w:t>
      </w:r>
      <w:r w:rsidDel="00000000" w:rsidR="00000000" w:rsidRPr="00000000">
        <w:rPr>
          <w:rtl w:val="0"/>
        </w:rPr>
        <w:t xml:space="preserve"> dell'odg,  dà ai sig.ri docenti interessati del Dipartimento di riferimento l'indicazione di condurre la discussione secondo le precisazioni riportate in premessa nell'odg.</w:t>
      </w:r>
    </w:p>
    <w:p w:rsidR="00000000" w:rsidDel="00000000" w:rsidP="00000000" w:rsidRDefault="00000000" w:rsidRPr="00000000" w14:paraId="00000041">
      <w:pPr>
        <w:jc w:val="both"/>
        <w:rPr/>
      </w:pPr>
      <w:r w:rsidDel="00000000" w:rsidR="00000000" w:rsidRPr="00000000">
        <w:rPr>
          <w:rtl w:val="0"/>
        </w:rPr>
        <w:t xml:space="preserve">    </w:t>
      </w:r>
    </w:p>
    <w:p w:rsidR="00000000" w:rsidDel="00000000" w:rsidP="00000000" w:rsidRDefault="00000000" w:rsidRPr="00000000" w14:paraId="00000042">
      <w:pPr>
        <w:jc w:val="both"/>
        <w:rPr/>
      </w:pPr>
      <w:r w:rsidDel="00000000" w:rsidR="00000000" w:rsidRPr="00000000">
        <w:rPr>
          <w:rtl w:val="0"/>
        </w:rPr>
        <w:t xml:space="preserve">  </w:t>
      </w:r>
    </w:p>
    <w:p w:rsidR="00000000" w:rsidDel="00000000" w:rsidP="00000000" w:rsidRDefault="00000000" w:rsidRPr="00000000" w14:paraId="00000043">
      <w:pPr>
        <w:jc w:val="both"/>
        <w:rPr/>
      </w:pPr>
      <w:r w:rsidDel="00000000" w:rsidR="00000000" w:rsidRPr="00000000">
        <w:rPr>
          <w:rtl w:val="0"/>
        </w:rPr>
        <w:t xml:space="preserve"> Si procede per tanto, alla disamina dei singoli punti all’od.g.e.</w:t>
      </w:r>
    </w:p>
    <w:p w:rsidR="00000000" w:rsidDel="00000000" w:rsidP="00000000" w:rsidRDefault="00000000" w:rsidRPr="00000000" w14:paraId="00000044">
      <w:pPr>
        <w:jc w:val="both"/>
        <w:rPr/>
      </w:pPr>
      <w:r w:rsidDel="00000000" w:rsidR="00000000" w:rsidRPr="00000000">
        <w:rPr>
          <w:rtl w:val="0"/>
        </w:rPr>
        <w:t xml:space="preserve"> </w:t>
      </w:r>
    </w:p>
    <w:p w:rsidR="00000000" w:rsidDel="00000000" w:rsidP="00000000" w:rsidRDefault="00000000" w:rsidRPr="00000000" w14:paraId="00000045">
      <w:pPr>
        <w:jc w:val="both"/>
        <w:rPr/>
      </w:pPr>
      <w:r w:rsidDel="00000000" w:rsidR="00000000" w:rsidRPr="00000000">
        <w:rPr>
          <w:rtl w:val="0"/>
        </w:rPr>
        <w:t xml:space="preserve">Nel merito si registrano gli interventi dei seguenti sig.ri docenti che formulano le considerazioni e proposte così riportate:</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Vengono adottate le seguenti deliberazioni in merito dei predetti punti dell’od.g.:</w:t>
      </w:r>
    </w:p>
    <w:p w:rsidR="00000000" w:rsidDel="00000000" w:rsidP="00000000" w:rsidRDefault="00000000" w:rsidRPr="00000000" w14:paraId="0000004D">
      <w:pPr>
        <w:jc w:val="both"/>
        <w:rPr/>
      </w:pPr>
      <w:r w:rsidDel="00000000" w:rsidR="00000000" w:rsidRPr="00000000">
        <w:rPr>
          <w:rtl w:val="0"/>
        </w:rPr>
        <w:t xml:space="preserve"> </w:t>
      </w:r>
    </w:p>
    <w:p w:rsidR="00000000" w:rsidDel="00000000" w:rsidP="00000000" w:rsidRDefault="00000000" w:rsidRPr="00000000" w14:paraId="0000004E">
      <w:pPr>
        <w:jc w:val="both"/>
        <w:rPr/>
      </w:pPr>
      <w:r w:rsidDel="00000000" w:rsidR="00000000" w:rsidRPr="00000000">
        <w:rPr>
          <w:rtl w:val="0"/>
        </w:rPr>
        <w:t xml:space="preserve">1 - ____________</w:t>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054">
      <w:pPr>
        <w:rPr>
          <w:rFonts w:ascii="Arial" w:cs="Arial" w:eastAsia="Arial" w:hAnsi="Arial"/>
        </w:rPr>
      </w:pPr>
      <w:r w:rsidDel="00000000" w:rsidR="00000000" w:rsidRPr="00000000">
        <w:rPr>
          <w:rtl w:val="0"/>
        </w:rPr>
      </w:r>
    </w:p>
    <w:p w:rsidR="00000000" w:rsidDel="00000000" w:rsidP="00000000" w:rsidRDefault="00000000" w:rsidRPr="00000000" w14:paraId="00000055">
      <w:pPr>
        <w:rPr>
          <w:rFonts w:ascii="Arial" w:cs="Arial" w:eastAsia="Arial" w:hAnsi="Arial"/>
        </w:rPr>
      </w:pPr>
      <w:r w:rsidDel="00000000" w:rsidR="00000000" w:rsidRPr="00000000">
        <w:rPr>
          <w:rtl w:val="0"/>
        </w:rPr>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3-</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4-</w:t>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5-</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    La riunione  si conclude alle ore ….</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Il Coordinatore del Dipartimento                                                 Il segretario       </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                                                                                                                       verbalizzante</w:t>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E">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1">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2">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73">
      <w:pPr>
        <w:rPr>
          <w:rFonts w:ascii="Verdana" w:cs="Verdana" w:eastAsia="Verdana" w:hAnsi="Verdana"/>
          <w:b w:val="1"/>
          <w:sz w:val="20"/>
          <w:szCs w:val="20"/>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Verdana"/>
  <w:font w:name="Times New Roman"/>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5"/>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0"/>
      <w:numFmt w:val="bullet"/>
      <w:lvlText w:val="-"/>
      <w:lvlJc w:val="left"/>
      <w:pPr>
        <w:ind w:left="242" w:hanging="143"/>
      </w:pPr>
      <w:rPr>
        <w:color w:val="5f4879"/>
        <w:sz w:val="24"/>
        <w:szCs w:val="24"/>
      </w:rPr>
    </w:lvl>
    <w:lvl w:ilvl="1">
      <w:start w:val="0"/>
      <w:numFmt w:val="bullet"/>
      <w:lvlText w:val="-"/>
      <w:lvlJc w:val="left"/>
      <w:pPr>
        <w:ind w:left="1180" w:hanging="135"/>
      </w:pPr>
      <w:rPr>
        <w:sz w:val="24"/>
        <w:szCs w:val="24"/>
      </w:rPr>
    </w:lvl>
    <w:lvl w:ilvl="2">
      <w:start w:val="0"/>
      <w:numFmt w:val="bullet"/>
      <w:lvlText w:val="•"/>
      <w:lvlJc w:val="left"/>
      <w:pPr>
        <w:ind w:left="2170" w:hanging="135"/>
      </w:pPr>
      <w:rPr>
        <w:rFonts w:ascii="Liberation Serif" w:cs="Liberation Serif" w:eastAsia="Liberation Serif" w:hAnsi="Liberation Serif"/>
      </w:rPr>
    </w:lvl>
    <w:lvl w:ilvl="3">
      <w:start w:val="0"/>
      <w:numFmt w:val="bullet"/>
      <w:lvlText w:val="•"/>
      <w:lvlJc w:val="left"/>
      <w:pPr>
        <w:ind w:left="3160" w:hanging="135"/>
      </w:pPr>
      <w:rPr>
        <w:rFonts w:ascii="Liberation Serif" w:cs="Liberation Serif" w:eastAsia="Liberation Serif" w:hAnsi="Liberation Serif"/>
      </w:rPr>
    </w:lvl>
    <w:lvl w:ilvl="4">
      <w:start w:val="0"/>
      <w:numFmt w:val="bullet"/>
      <w:lvlText w:val="•"/>
      <w:lvlJc w:val="left"/>
      <w:pPr>
        <w:ind w:left="4150" w:hanging="135"/>
      </w:pPr>
      <w:rPr>
        <w:rFonts w:ascii="Liberation Serif" w:cs="Liberation Serif" w:eastAsia="Liberation Serif" w:hAnsi="Liberation Serif"/>
      </w:rPr>
    </w:lvl>
    <w:lvl w:ilvl="5">
      <w:start w:val="0"/>
      <w:numFmt w:val="bullet"/>
      <w:lvlText w:val="•"/>
      <w:lvlJc w:val="left"/>
      <w:pPr>
        <w:ind w:left="5140" w:hanging="135"/>
      </w:pPr>
      <w:rPr>
        <w:rFonts w:ascii="Liberation Serif" w:cs="Liberation Serif" w:eastAsia="Liberation Serif" w:hAnsi="Liberation Serif"/>
      </w:rPr>
    </w:lvl>
    <w:lvl w:ilvl="6">
      <w:start w:val="0"/>
      <w:numFmt w:val="bullet"/>
      <w:lvlText w:val="•"/>
      <w:lvlJc w:val="left"/>
      <w:pPr>
        <w:ind w:left="6130" w:hanging="135"/>
      </w:pPr>
      <w:rPr>
        <w:rFonts w:ascii="Liberation Serif" w:cs="Liberation Serif" w:eastAsia="Liberation Serif" w:hAnsi="Liberation Serif"/>
      </w:rPr>
    </w:lvl>
    <w:lvl w:ilvl="7">
      <w:start w:val="0"/>
      <w:numFmt w:val="bullet"/>
      <w:lvlText w:val="•"/>
      <w:lvlJc w:val="left"/>
      <w:pPr>
        <w:ind w:left="7120" w:hanging="135"/>
      </w:pPr>
      <w:rPr>
        <w:rFonts w:ascii="Liberation Serif" w:cs="Liberation Serif" w:eastAsia="Liberation Serif" w:hAnsi="Liberation Serif"/>
      </w:rPr>
    </w:lvl>
    <w:lvl w:ilvl="8">
      <w:start w:val="0"/>
      <w:numFmt w:val="bullet"/>
      <w:lvlText w:val="•"/>
      <w:lvlJc w:val="left"/>
      <w:pPr>
        <w:ind w:left="8110" w:hanging="135"/>
      </w:pPr>
      <w:rPr>
        <w:rFonts w:ascii="Liberation Serif" w:cs="Liberation Serif" w:eastAsia="Liberation Serif" w:hAnsi="Liberation Serif"/>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ssis01600p@pec.istruzione.it" TargetMode="External"/><Relationship Id="rId10" Type="http://schemas.openxmlformats.org/officeDocument/2006/relationships/hyperlink" Target="mailto:ssis01600p@istruzione.it" TargetMode="External"/><Relationship Id="rId13" Type="http://schemas.openxmlformats.org/officeDocument/2006/relationships/hyperlink" Target="http://www.edscuola.eu/wordpress/?p=3161" TargetMode="External"/><Relationship Id="rId12" Type="http://schemas.openxmlformats.org/officeDocument/2006/relationships/hyperlink" Target="https://www.itozieri.edu.it/index.php/offerta-formativa-didattica/1956-tipologia-di-verifica-di-ogni-singola-disciplin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tozieri.edu.it/" TargetMode="External"/><Relationship Id="rId14" Type="http://schemas.openxmlformats.org/officeDocument/2006/relationships/hyperlink" Target="https://www.itozieri.edu.it/index.php/aree-tematiche/riordino-istruzione-professional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